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rPr/>
      </w:pPr>
      <w:r w:rsidDel="00000000" w:rsidR="00000000" w:rsidRPr="00000000">
        <w:rPr>
          <w:rtl w:val="0"/>
        </w:rPr>
        <w:t xml:space="preserve">In the heart of the island, on the steep treacherous hill, was a bronze chest teeming with gold coins and countless bank notes. This treasure was not easy to get to: the requirement was to get past numerous barbed trees, swim through moats filled with mysterious liquid, and finally pass a wall of apparitions armed with titanium cutlasses. This was one of the toughest challenges he had faced in his life.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soon as Jack saw the treasure on the island, he knew it was his. Sailors were demanded to hurry up and the captain was getting yelled at. There was lots of chaos everywhere.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was finally peaceful when they arrived. Most sailors suffered from scurvy; luckily, Jack didn’t. The galleon that they traveled on had been all wrecked and vomited on, so they had to order a new one.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Jack immediately started his journey, weaving through trees and jumping over branches.He followed his map that he deciphered on the trip. It took him a while, but eventually he did it.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His goal was to plunder and smuggle all of the goods out of this island. When they entered, there was an enormous sign that told them not to take anything. What Jack didn’t notice is that there was small writing in the corner that said that it doesn’t really matter anyway, treasure is just for show.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When Jack finally scrambled to the top of the tower, he noticed something unexpected. It was all plastic. Now he knew why one of his fellow sailors was shouting at him from the other side of the riverbank.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After all the work of getting to the “gold”, and getting back to shore, had made his crew maroon him.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is how the story ends, Jack is stranded on the island, and never makes it back home. Sadly this is how his life ends, no friends, no family, and stranded on a deserted island.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