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It is imperative that schools keep traditional ways of teaching and educating students. Introducing digital learning and devices will not aid them, but instead hinder the learning of the students and distract them from their goal. It causes distractions, hinders communication between peers, and is astoundingly expensive and difficult to manage.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Firstly, having devices like iPads or even laptops can be extremely distracting for the students. They have to have the responsibility to not go onto other apps or watch videos when assigned a task. They are addicting, and it’s human nature to go against the rules and slack off. Studies show that 65% of school-aged children get distracted by devices, and 59% say that their attention was completely diverted due to them. This is a clear example that devices do not aid students in their studies but divert them away from their common goal.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Secondly, heavy reliance on technology can limit peer interaction, which is crucial for 75% of jobs. As the students become more attached to their devices, they begin to looks essential skills such as clear communication and expressing ideas with confidence. Additionally, Dr David Deming from Harvard University states that between 1980 and 2012, jobs requiring social skills and clear communication increased by 12%.  Social interaction is crucial for students, not just for their academic lives, but their social lives too.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Lastly, not all students have equal access to the privileges of certain devices. Students with a less fortunate background may be discouraged to continue learning due to their disadvantage. Not every family is able to afford the required devices, or the things needed to care for it. To ensure fair learning where everyone is equally equipped and valued, schools must provide alternate ways to use tools and be cautious about everyone.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conclusion, relying on and using devices in schools is not and ideal way to enhance learning. It hinders progress, causes distractions and limits social interactions. Instead, schools should focus on more proper learning, where they are face to face and can engage in the lesson.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