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46A" w:rsidRDefault="0039146A" w:rsidP="0039146A">
      <w:pPr>
        <w:jc w:val="center"/>
      </w:pPr>
      <w:r w:rsidRPr="0039146A">
        <w:t>The Stick and the Carrot: A Calculated Approach to Civic Responsibility</w:t>
      </w:r>
    </w:p>
    <w:p w:rsidR="0039146A" w:rsidRDefault="0039146A"/>
    <w:p w:rsidR="0039146A" w:rsidRDefault="0039146A">
      <w:r w:rsidRPr="0039146A">
        <w:t xml:space="preserve"> The casual toss of a coffee cup or the thoughtless flick of a cigarette butt—these seemingly minor acts coalesce into an insidious blight on our society. Litter is not merely an aesthetic inconvenience; it is an environmental scourge, an egregious fiscal burden, and a palpable symptom of civic apathy. The question of whether to make penalties for this behaviour more stringent is, therefore, not a simple matter of punitive justice, but a deeper inquiry into how we cultivate a conscientious citizenry. While stricter penalties are an indispensable component of an effective strategy, they are a blunt instrument if wielded in isolation. A truly successful approach must integrate robust enforcement with proactive education and improved public infrastructure to foster a genuine and permanent cultural shift. </w:t>
      </w:r>
    </w:p>
    <w:p w:rsidR="0039146A" w:rsidRDefault="0039146A"/>
    <w:p w:rsidR="0039146A" w:rsidRDefault="0039146A">
      <w:r w:rsidRPr="0039146A">
        <w:t xml:space="preserve">The foundational principle for increasing penalties rests on the potent concept of deterrence. For a penalty to be effective, it must outweigh the perceived impunity of the transgression. Currently, fines in many jurisdictions are perfunctory, representing a token reprimand that fails to commensurate with the gravity of the problem. The cost of cleansing our public spaces is immense, a burden borne by all taxpayers. By instituting substantially higher fines or mandatory community service, the state promulgates an unequivocal message: littering is an anti-social act with serious consequences. This approach, famously effective in highly regulated environments like Singapore, transforms a thoughtless habit into a calculated risk, fundamentally altering the calculus of the potential offender. </w:t>
      </w:r>
    </w:p>
    <w:p w:rsidR="0039146A" w:rsidRDefault="0039146A"/>
    <w:p w:rsidR="0039146A" w:rsidRDefault="0039146A">
      <w:r w:rsidRPr="0039146A">
        <w:t xml:space="preserve">Conversely, a significant counterargument posits that a punitive-centric escalation represents an incipient slide into an overbearing 'nanny state' and may prove economically untenable. Proponents of this view argue that while littering is undesirable, applying draconian financial sanctions is a disproportionate response that infringes upon personal liberties. This perspective suggests the state's role is to facilitate, not to coerce compliance through intimidation. Furthermore, from a pragmatic standpoint, this approach faces the law of diminishing returns. The immense cost required for a considerable deployment of enforcement officers could far outweigh the fiscal benefits accrued from fines. In this light, a strategy focused solely on punishment is not only philosophically dubious but also fiscally imprudent. </w:t>
      </w:r>
    </w:p>
    <w:p w:rsidR="0039146A" w:rsidRDefault="0039146A"/>
    <w:p w:rsidR="0039146A" w:rsidRDefault="0039146A">
      <w:r w:rsidRPr="0039146A">
        <w:t xml:space="preserve">Beyond these philosophical quandaries, a myopic focus on punitive measures is fraught with pragmatic impediments that fail to address the underlying issue. Firstly, the efficacy of any penalty is rendered nugatory if enforcement is perceived as improbable. Without a substantial increase in resources, even the severest fines become an empty threat. Secondly, a system predicated on fines can be profoundly inequitable; a significant financial blow to one individual may be a triviality to another. Most importantly, fear of punishment cultivates extrinsic motivation—the avoidance of a fine—rather than the intrinsic motivation born of environmental stewardship. A society that remains clean only under surveillance is not truly clean; it is merely well-policed. </w:t>
      </w:r>
    </w:p>
    <w:p w:rsidR="0039146A" w:rsidRDefault="0039146A"/>
    <w:p w:rsidR="0039146A" w:rsidRDefault="0039146A">
      <w:r w:rsidRPr="0039146A">
        <w:t xml:space="preserve">Ultimately, lasting change necessitates a multifaceted, synergistic strategy that embeds stricter penalties within a holistic framework. Education is the veritable cornerstone of prevention. By inculcating a generational ethic of stewardship through school curricula and compelling public awareness campaigns, we can address the issue at its source.  </w:t>
      </w:r>
      <w:r w:rsidRPr="0039146A">
        <w:lastRenderedPageBreak/>
        <w:t xml:space="preserve">Concurrently, we must remove barriers to responsible disposal. It is unreasonable to expect compliance in areas bereft of accessible, well-maintained public receptacles. The success of positive reinforcement mechanisms like NSW’s "Return and Earn" scheme—which has demonstrably contributed to a reduction of over 50% in eligible drink container litter—provides a powerful, evidence-based model for incentivising virtuous behaviour rather than solely penalising vice. </w:t>
      </w:r>
    </w:p>
    <w:p w:rsidR="0039146A" w:rsidRDefault="0039146A"/>
    <w:p w:rsidR="00D85BE2" w:rsidRDefault="0039146A">
      <w:r w:rsidRPr="0039146A">
        <w:t xml:space="preserve"> In the end, the debate over littering penalties should not be reduced to a facile binary between the status quo and a draconian punitive regime. To simply increase fines without addressing the genesis of the behaviour is to apply a bandage to a wound requiring a more holistic remedy. Stricter penalties are a necessary tool to establish accountability. However, they must function as one part of a tripartite strategy. This comprehensive approach—combining the ‘stick’ of stringent enforcement with the ‘carrot’ of education and the clear path of infrastructure—is our most promising route. Only then can we hope to transform our public spaces, not through a culture of fear, but through a shared ethos of collective ownership and civic pride. Tools 2.5 Pro</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6A"/>
    <w:rsid w:val="0039146A"/>
    <w:rsid w:val="00876E9A"/>
    <w:rsid w:val="00B72539"/>
    <w:rsid w:val="00D85B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527CCE"/>
  <w15:chartTrackingRefBased/>
  <w15:docId w15:val="{56491E62-B61E-F447-86BB-AD72D38D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2025-10-09T01:43:00Z</dcterms:created>
  <dcterms:modified xsi:type="dcterms:W3CDTF">2025-10-09T01:46:00Z</dcterms:modified>
</cp:coreProperties>
</file>