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Every year, millions of people are killed by road accidents, with the majority of them being caused by human error, whether it’s distraction, poor judgement, fatigue or intoxication. If we are technologically capable of reducing this harm, then we have a responsibility to do it. Autonomous vehicles offer exactly those benefits, and for that reason, they should be mandated over human-driven cars.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Unlike humans, autonomous vehicles do not get tired, frustrated or distracted. They will obey traffic laws, react faster than any person could, and even possibly communicate with other vehicles before a collision occurs. As the technology continues to advance, evidence can show how autonomous vehicles can greatly outperform humans in safety and efficiency. Allowing safer alternatives to go to waste rather than using them on the road is just like putting unsafe machines and tools in workplaces.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Above that, mandating autonomous vehicles would transform the city. Traffic would be reduced with practical driving patterns, and would lower fuel and gas emissions. Fewer accidents would also lift the burden from local hospitals and emergency services. Additionally, it would increase the mobility for elderly and disabled people, which would mean better social inclusion.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Some critics would argue that mandating autonomous vehicles would eliminate personal freedom and the joy of driving for some. While this is understandable, it overlooks the fact that dozens of lives could be saved by just a single autonomous car. When your own personal choice endangers others, regulation is necessary. In this case, preserving the lives of many outweighs the need for freedom.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conclusion, mandating autonomous vehicles is not a matter of choice - it is a necessity to prioritise safety, health and sustainability. When autonomous vehicles are proven trustworthy and safer, replacing ordinary cars with them would be the only responsible step forward.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